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E0509" w:rsidR="001E0509" w:rsidP="001E0509" w:rsidRDefault="001E0509" w14:paraId="7244F37D" w14:textId="77777777">
      <w:pPr>
        <w:spacing w:after="160" w:line="279" w:lineRule="auto"/>
        <w:jc w:val="center"/>
        <w:rPr>
          <w:rFonts w:ascii="Aptos" w:hAnsi="Aptos" w:eastAsia="Times New Roman" w:cs="Times New Roman"/>
          <w:lang w:eastAsia="ja-JP"/>
        </w:rPr>
      </w:pPr>
      <w:bookmarkStart w:name="safeguarding-policy" w:id="0"/>
      <w:r w:rsidRPr="001E0509">
        <w:rPr>
          <w:rFonts w:ascii="Aptos" w:hAnsi="Aptos" w:eastAsia="Times New Roman" w:cs="Times New Roman"/>
          <w:noProof/>
          <w:lang w:eastAsia="ja-JP"/>
        </w:rPr>
        <w:drawing>
          <wp:inline distT="0" distB="0" distL="0" distR="0" wp14:anchorId="13D26295" wp14:editId="091CA13C">
            <wp:extent cx="1476375" cy="1847850"/>
            <wp:effectExtent l="0" t="0" r="0" b="0"/>
            <wp:docPr id="86004937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44146" name="Picture 19769441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509" w:rsidP="001E0509" w:rsidRDefault="001E0509" w14:paraId="5A3DE6F6" w14:textId="572DBDF1">
      <w:pPr>
        <w:spacing w:after="80"/>
        <w:contextualSpacing/>
        <w:jc w:val="center"/>
        <w:rPr>
          <w:rFonts w:ascii="Aptos Display" w:hAnsi="Aptos Display" w:eastAsia="Times New Roman" w:cs="Times New Roman"/>
          <w:sz w:val="56"/>
          <w:szCs w:val="56"/>
          <w:lang w:eastAsia="ja-JP"/>
        </w:rPr>
      </w:pPr>
      <w:r w:rsidRPr="001E0509">
        <w:rPr>
          <w:rFonts w:ascii="Aptos Display" w:hAnsi="Aptos Display" w:eastAsia="Times New Roman" w:cs="Times New Roman"/>
          <w:sz w:val="56"/>
          <w:szCs w:val="56"/>
          <w:lang w:eastAsia="ja-JP"/>
        </w:rPr>
        <w:t>Park Avenue Free Methodist Church</w:t>
      </w:r>
      <w:r>
        <w:rPr>
          <w:rFonts w:ascii="Aptos Display" w:hAnsi="Aptos Display" w:eastAsia="Times New Roman" w:cs="Times New Roman"/>
          <w:sz w:val="56"/>
          <w:szCs w:val="56"/>
          <w:lang w:eastAsia="ja-JP"/>
        </w:rPr>
        <w:t xml:space="preserve"> Safeguarding Policy</w:t>
      </w:r>
    </w:p>
    <w:p w:rsidR="004E29FC" w:rsidRDefault="004E29FC" w14:paraId="7E86B298" w14:textId="2CF7CEBA">
      <w:pPr>
        <w:rPr>
          <w:rFonts w:ascii="Aptos Display" w:hAnsi="Aptos Display" w:eastAsia="Times New Roman" w:cs="Times New Roman"/>
          <w:sz w:val="56"/>
          <w:szCs w:val="56"/>
          <w:lang w:eastAsia="ja-JP"/>
        </w:rPr>
      </w:pPr>
      <w:r>
        <w:rPr>
          <w:rFonts w:ascii="Aptos Display" w:hAnsi="Aptos Display" w:eastAsia="Times New Roman" w:cs="Times New Roman"/>
          <w:sz w:val="56"/>
          <w:szCs w:val="56"/>
          <w:lang w:eastAsia="ja-JP"/>
        </w:rPr>
        <w:br w:type="page"/>
      </w:r>
    </w:p>
    <w:sdt>
      <w:sdtPr>
        <w:id w:val="-587378261"/>
        <w:docPartObj>
          <w:docPartGallery w:val="Table of Contents"/>
          <w:docPartUnique/>
        </w:docPartObj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</w:rPr>
      </w:sdtPr>
      <w:sdtEndPr>
        <w:rPr>
          <w:rFonts w:ascii="Aptos" w:hAnsi="Aptos" w:eastAsia="Aptos" w:cs="" w:asciiTheme="minorAscii" w:hAnsiTheme="minorAscii" w:eastAsiaTheme="minorAscii" w:cstheme="minorBidi"/>
          <w:b w:val="1"/>
          <w:bCs w:val="1"/>
          <w:noProof/>
          <w:color w:val="auto"/>
          <w:sz w:val="24"/>
          <w:szCs w:val="24"/>
        </w:rPr>
      </w:sdtEndPr>
      <w:sdtContent>
        <w:p w:rsidR="004E29FC" w:rsidRDefault="004E29FC" w14:paraId="49D7665E" w14:textId="143FCBF0">
          <w:pPr>
            <w:pStyle w:val="TOCHeading"/>
          </w:pPr>
          <w:r>
            <w:t>Contents</w:t>
          </w:r>
        </w:p>
        <w:p w:rsidR="004E29FC" w:rsidRDefault="004E29FC" w14:paraId="65908A4C" w14:textId="11D1AE06">
          <w:pPr>
            <w:pStyle w:val="TOC2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21872842">
            <w:r w:rsidRPr="00DF0004">
              <w:rPr>
                <w:rStyle w:val="Hyperlink"/>
                <w:noProof/>
              </w:rPr>
              <w:t>Children, Young People and Adults at Risk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75166D75" w14:textId="10E9F173">
          <w:pPr>
            <w:pStyle w:val="TOC2"/>
            <w:tabs>
              <w:tab w:val="right" w:leader="dot" w:pos="9350"/>
            </w:tabs>
            <w:rPr>
              <w:noProof/>
            </w:rPr>
          </w:pPr>
          <w:hyperlink w:history="1" w:anchor="_Toc221872843">
            <w:r w:rsidRPr="00DF0004">
              <w:rPr>
                <w:rStyle w:val="Hyperlink"/>
                <w:noProof/>
              </w:rPr>
              <w:t>1. Policy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78721843" w14:textId="32BE2A4A">
          <w:pPr>
            <w:pStyle w:val="TOC2"/>
            <w:tabs>
              <w:tab w:val="right" w:leader="dot" w:pos="9350"/>
            </w:tabs>
            <w:rPr>
              <w:noProof/>
            </w:rPr>
          </w:pPr>
          <w:hyperlink w:history="1" w:anchor="_Toc221872844">
            <w:r w:rsidRPr="00DF0004">
              <w:rPr>
                <w:rStyle w:val="Hyperlink"/>
                <w:noProof/>
              </w:rPr>
              <w:t>2. Legal and Regulatory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4C19BECC" w14:textId="0FA6D918">
          <w:pPr>
            <w:pStyle w:val="TOC2"/>
            <w:tabs>
              <w:tab w:val="right" w:leader="dot" w:pos="9350"/>
            </w:tabs>
            <w:rPr>
              <w:noProof/>
            </w:rPr>
          </w:pPr>
          <w:hyperlink w:history="1" w:anchor="_Toc221872845">
            <w:r w:rsidRPr="00DF0004">
              <w:rPr>
                <w:rStyle w:val="Hyperlink"/>
                <w:noProof/>
              </w:rPr>
              <w:t>3.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12B966B6" w14:textId="3ADF0871">
          <w:pPr>
            <w:pStyle w:val="TOC3"/>
            <w:tabs>
              <w:tab w:val="right" w:leader="dot" w:pos="9350"/>
            </w:tabs>
            <w:rPr>
              <w:noProof/>
            </w:rPr>
          </w:pPr>
          <w:hyperlink w:history="1" w:anchor="_Toc221872846">
            <w:r w:rsidRPr="00DF0004">
              <w:rPr>
                <w:rStyle w:val="Hyperlink"/>
                <w:noProof/>
              </w:rPr>
              <w:t>3.1 Child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6DA61C58" w14:textId="36E49879">
          <w:pPr>
            <w:pStyle w:val="TOC3"/>
            <w:tabs>
              <w:tab w:val="right" w:leader="dot" w:pos="9350"/>
            </w:tabs>
            <w:rPr>
              <w:noProof/>
            </w:rPr>
          </w:pPr>
          <w:hyperlink w:history="1" w:anchor="_Toc221872847">
            <w:r w:rsidRPr="00DF0004">
              <w:rPr>
                <w:rStyle w:val="Hyperlink"/>
                <w:noProof/>
              </w:rPr>
              <w:t>3.2 Adult at Risk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189A6012" w14:textId="51934B1D">
          <w:pPr>
            <w:pStyle w:val="TOC3"/>
            <w:tabs>
              <w:tab w:val="right" w:leader="dot" w:pos="9350"/>
            </w:tabs>
            <w:rPr>
              <w:noProof/>
            </w:rPr>
          </w:pPr>
          <w:hyperlink w:history="1" w:anchor="_Toc221872848">
            <w:r w:rsidRPr="00DF0004">
              <w:rPr>
                <w:rStyle w:val="Hyperlink"/>
                <w:noProof/>
              </w:rPr>
              <w:t>3.3 Abuse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75644F01" w14:textId="3CE54BE5">
          <w:pPr>
            <w:pStyle w:val="TOC2"/>
            <w:tabs>
              <w:tab w:val="right" w:leader="dot" w:pos="9350"/>
            </w:tabs>
            <w:rPr>
              <w:noProof/>
            </w:rPr>
          </w:pPr>
          <w:hyperlink w:history="1" w:anchor="_Toc221872849">
            <w:r w:rsidRPr="00DF0004">
              <w:rPr>
                <w:rStyle w:val="Hyperlink"/>
                <w:noProof/>
              </w:rPr>
              <w:t>4. Safeguarding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2437C99C" w14:textId="06926242">
          <w:pPr>
            <w:pStyle w:val="TOC2"/>
            <w:tabs>
              <w:tab w:val="right" w:leader="dot" w:pos="9350"/>
            </w:tabs>
            <w:rPr>
              <w:noProof/>
            </w:rPr>
          </w:pPr>
          <w:hyperlink w:history="1" w:anchor="_Toc221872850">
            <w:r w:rsidRPr="00DF0004">
              <w:rPr>
                <w:rStyle w:val="Hyperlink"/>
                <w:noProof/>
              </w:rPr>
              <w:t>5. Governance and Accountability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0B3E1D0C" w14:textId="25E3825E">
          <w:pPr>
            <w:pStyle w:val="TOC3"/>
            <w:tabs>
              <w:tab w:val="right" w:leader="dot" w:pos="9350"/>
            </w:tabs>
            <w:rPr>
              <w:noProof/>
            </w:rPr>
          </w:pPr>
          <w:hyperlink w:history="1" w:anchor="_Toc221872851">
            <w:r w:rsidRPr="00DF0004">
              <w:rPr>
                <w:rStyle w:val="Hyperlink"/>
                <w:noProof/>
              </w:rPr>
              <w:t>5.1 Responsibilities of the DSO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68ED11C0" w14:textId="23E9106F">
          <w:pPr>
            <w:pStyle w:val="TOC3"/>
            <w:tabs>
              <w:tab w:val="right" w:leader="dot" w:pos="9350"/>
            </w:tabs>
            <w:rPr>
              <w:noProof/>
            </w:rPr>
          </w:pPr>
          <w:hyperlink w:history="1" w:anchor="_Toc221872852">
            <w:r w:rsidRPr="00DF0004">
              <w:rPr>
                <w:rStyle w:val="Hyperlink"/>
                <w:noProof/>
              </w:rPr>
              <w:t>5.2 Responsibilities of Trustees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69CEDC06" w14:textId="0677CA86">
          <w:pPr>
            <w:pStyle w:val="TOC2"/>
            <w:tabs>
              <w:tab w:val="right" w:leader="dot" w:pos="9350"/>
            </w:tabs>
            <w:rPr>
              <w:noProof/>
            </w:rPr>
          </w:pPr>
          <w:hyperlink w:history="1" w:anchor="_Toc221872853">
            <w:r w:rsidRPr="00DF0004">
              <w:rPr>
                <w:rStyle w:val="Hyperlink"/>
                <w:noProof/>
              </w:rPr>
              <w:t>6. Reporting Concerns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3FDBB3E3" w14:textId="0B8AECD9">
          <w:pPr>
            <w:pStyle w:val="TOC2"/>
            <w:tabs>
              <w:tab w:val="right" w:leader="dot" w:pos="9350"/>
            </w:tabs>
            <w:rPr>
              <w:noProof/>
            </w:rPr>
          </w:pPr>
          <w:hyperlink w:history="1" w:anchor="_Toc221872854">
            <w:r w:rsidRPr="00DF0004">
              <w:rPr>
                <w:rStyle w:val="Hyperlink"/>
                <w:noProof/>
              </w:rPr>
              <w:t>7. Managing Allegations Against Staff or Volunteers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6A90DFE8" w14:textId="65D1C4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history="1" w:anchor="_Toc221872855">
            <w:r w:rsidRPr="00DF0004">
              <w:rPr>
                <w:rStyle w:val="Hyperlink"/>
                <w:noProof/>
              </w:rPr>
              <w:t>8. Safer Recruitment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52EABC52" w14:textId="6671450C">
          <w:pPr>
            <w:pStyle w:val="TOC2"/>
            <w:tabs>
              <w:tab w:val="right" w:leader="dot" w:pos="9350"/>
            </w:tabs>
            <w:rPr>
              <w:noProof/>
            </w:rPr>
          </w:pPr>
          <w:hyperlink w:history="1" w:anchor="_Toc221872856">
            <w:r w:rsidRPr="00DF0004">
              <w:rPr>
                <w:rStyle w:val="Hyperlink"/>
                <w:noProof/>
              </w:rPr>
              <w:t>9. 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124764FE" w14:textId="2B2674EF">
          <w:pPr>
            <w:pStyle w:val="TOC2"/>
            <w:tabs>
              <w:tab w:val="right" w:leader="dot" w:pos="9350"/>
            </w:tabs>
            <w:rPr>
              <w:noProof/>
            </w:rPr>
          </w:pPr>
          <w:hyperlink w:history="1" w:anchor="_Toc221872857">
            <w:r w:rsidRPr="00DF0004">
              <w:rPr>
                <w:rStyle w:val="Hyperlink"/>
                <w:noProof/>
              </w:rPr>
              <w:t>10. Record Keeping and Confidentiality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57FA1786" w14:textId="057DA617">
          <w:pPr>
            <w:pStyle w:val="TOC2"/>
            <w:tabs>
              <w:tab w:val="right" w:leader="dot" w:pos="9350"/>
            </w:tabs>
            <w:rPr>
              <w:noProof/>
            </w:rPr>
          </w:pPr>
          <w:hyperlink w:history="1" w:anchor="_Toc221872858">
            <w:r w:rsidRPr="00DF0004">
              <w:rPr>
                <w:rStyle w:val="Hyperlink"/>
                <w:noProof/>
              </w:rPr>
              <w:t>11. Risk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306552D0" w14:textId="41EE8D5D">
          <w:pPr>
            <w:pStyle w:val="TOC2"/>
            <w:tabs>
              <w:tab w:val="right" w:leader="dot" w:pos="9350"/>
            </w:tabs>
            <w:rPr>
              <w:noProof/>
            </w:rPr>
          </w:pPr>
          <w:hyperlink w:history="1" w:anchor="_Toc221872859">
            <w:r w:rsidRPr="00DF0004">
              <w:rPr>
                <w:rStyle w:val="Hyperlink"/>
                <w:noProof/>
              </w:rPr>
              <w:t>12. Policy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3A26B4F4" w14:textId="0183582A">
          <w:pPr>
            <w:pStyle w:val="TOC1"/>
            <w:tabs>
              <w:tab w:val="right" w:leader="dot" w:pos="9350"/>
            </w:tabs>
            <w:rPr>
              <w:noProof/>
            </w:rPr>
          </w:pPr>
          <w:hyperlink w:history="1" w:anchor="_Toc221872860">
            <w:r w:rsidRPr="00DF0004">
              <w:rPr>
                <w:rStyle w:val="Hyperlink"/>
                <w:noProof/>
              </w:rPr>
              <w:t>Document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_Toc221872860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9FC" w:rsidRDefault="004E29FC" w14:paraId="677EFAB0" w14:textId="26DA0007">
          <w:r>
            <w:rPr>
              <w:b/>
              <w:bCs/>
              <w:noProof/>
            </w:rPr>
            <w:fldChar w:fldCharType="end"/>
          </w:r>
        </w:p>
      </w:sdtContent>
    </w:sdt>
    <w:p w:rsidR="004E29FC" w:rsidRDefault="004E29FC" w14:paraId="39C27543" w14:textId="352D3231">
      <w:pPr>
        <w:rPr>
          <w:rFonts w:ascii="Aptos Display" w:hAnsi="Aptos Display" w:eastAsia="Times New Roman" w:cs="Times New Roman"/>
          <w:sz w:val="56"/>
          <w:szCs w:val="56"/>
          <w:lang w:eastAsia="ja-JP"/>
        </w:rPr>
      </w:pPr>
      <w:r>
        <w:rPr>
          <w:rFonts w:ascii="Aptos Display" w:hAnsi="Aptos Display" w:eastAsia="Times New Roman" w:cs="Times New Roman"/>
          <w:sz w:val="56"/>
          <w:szCs w:val="56"/>
          <w:lang w:eastAsia="ja-JP"/>
        </w:rPr>
        <w:br w:type="page"/>
      </w:r>
    </w:p>
    <w:p w:rsidR="00961FB0" w:rsidRDefault="00431346" w14:paraId="1EA377FE" w14:textId="77777777">
      <w:pPr>
        <w:pStyle w:val="Heading2"/>
      </w:pPr>
      <w:bookmarkStart w:name="_Toc221872842" w:id="1"/>
      <w:bookmarkStart w:name="children-young-people-and-adults-at-risk" w:id="2"/>
      <w:r>
        <w:lastRenderedPageBreak/>
        <w:t>Children, Young People and Adults at Risk</w:t>
      </w:r>
      <w:bookmarkEnd w:id="1"/>
    </w:p>
    <w:p w:rsidR="00961FB0" w:rsidRDefault="00000000" w14:paraId="1EA377FF" w14:textId="77777777">
      <w:r>
        <w:pict w14:anchorId="1EA37848">
          <v:rect id="_x0000_i1025" style="width:0;height:1.5pt" o:hr="t" o:hrstd="t" o:hralign="center"/>
        </w:pict>
      </w:r>
    </w:p>
    <w:p w:rsidR="00961FB0" w:rsidRDefault="00431346" w14:paraId="1EA37800" w14:textId="77777777">
      <w:pPr>
        <w:pStyle w:val="Heading2"/>
      </w:pPr>
      <w:bookmarkStart w:name="_Toc221872843" w:id="3"/>
      <w:bookmarkStart w:name="policy-statement" w:id="4"/>
      <w:bookmarkEnd w:id="2"/>
      <w:r>
        <w:t>1. Policy Statement</w:t>
      </w:r>
      <w:bookmarkEnd w:id="3"/>
    </w:p>
    <w:p w:rsidR="00961FB0" w:rsidRDefault="00431346" w14:paraId="1EA37801" w14:textId="77777777">
      <w:pPr>
        <w:pStyle w:val="FirstParagraph"/>
      </w:pPr>
      <w:r>
        <w:t>This church recognises that safeguarding is integral to its mission, ministry, and Christian witness. We are committed to providing a safe environment for children, young people, and adults at risk, and to responding appropriately where concerns arise.</w:t>
      </w:r>
    </w:p>
    <w:p w:rsidR="00961FB0" w:rsidRDefault="00431346" w14:paraId="1EA37802" w14:textId="77777777">
      <w:pPr>
        <w:pStyle w:val="BodyText"/>
      </w:pPr>
      <w:r>
        <w:t>We affirm that: - The welfare of the child is paramount. - Adults at risk have the right to protection from abuse and neglect. - Safeguarding is everyone’s responsibility. - We will work in partnership with statutory agencies in Northern Ireland.</w:t>
      </w:r>
    </w:p>
    <w:p w:rsidR="00961FB0" w:rsidRDefault="00431346" w14:paraId="1EA37803" w14:textId="77777777">
      <w:pPr>
        <w:pStyle w:val="BodyText"/>
      </w:pPr>
      <w:r>
        <w:t>This policy applies to all trustees, leaders, staff, volunteers, and anyone acting on behalf of the church.</w:t>
      </w:r>
    </w:p>
    <w:p w:rsidR="00961FB0" w:rsidRDefault="00000000" w14:paraId="1EA37804" w14:textId="77777777">
      <w:r>
        <w:pict w14:anchorId="1EA37849">
          <v:rect id="_x0000_i1026" style="width:0;height:1.5pt" o:hr="t" o:hrstd="t" o:hralign="center"/>
        </w:pict>
      </w:r>
    </w:p>
    <w:p w:rsidR="00961FB0" w:rsidRDefault="00431346" w14:paraId="1EA37805" w14:textId="77777777">
      <w:pPr>
        <w:pStyle w:val="Heading2"/>
      </w:pPr>
      <w:bookmarkStart w:name="_Toc221872844" w:id="5"/>
      <w:bookmarkStart w:name="legal-and-regulatory-framework" w:id="6"/>
      <w:bookmarkEnd w:id="4"/>
      <w:r>
        <w:t>2. Legal and Regulatory Framework</w:t>
      </w:r>
      <w:bookmarkEnd w:id="5"/>
    </w:p>
    <w:p w:rsidR="00961FB0" w:rsidRDefault="00431346" w14:paraId="1EA37806" w14:textId="77777777">
      <w:pPr>
        <w:pStyle w:val="FirstParagraph"/>
      </w:pPr>
      <w:r>
        <w:t>This policy operates in accordance with: - Co‑operating to Safeguard Children and Young People in Northern Ireland (2017) - Safeguarding Board for Northern Ireland (SBNI) procedures - The Children (Northern Ireland) Order 1995 - Adult Safeguarding: Prevention and Protection in Partnership - AccessNI vetting requirements - UK GDPR and the Data Protection Act 2018 - Health and Safety at Work (NI) Order 1978</w:t>
      </w:r>
    </w:p>
    <w:p w:rsidR="00961FB0" w:rsidRDefault="00000000" w14:paraId="1EA37807" w14:textId="77777777">
      <w:r>
        <w:pict w14:anchorId="1EA3784A">
          <v:rect id="_x0000_i1027" style="width:0;height:1.5pt" o:hr="t" o:hrstd="t" o:hralign="center"/>
        </w:pict>
      </w:r>
    </w:p>
    <w:p w:rsidR="00961FB0" w:rsidRDefault="00431346" w14:paraId="1EA37808" w14:textId="77777777">
      <w:pPr>
        <w:pStyle w:val="Heading2"/>
      </w:pPr>
      <w:bookmarkStart w:name="_Toc221872845" w:id="7"/>
      <w:bookmarkStart w:name="definitions" w:id="8"/>
      <w:bookmarkEnd w:id="6"/>
      <w:r>
        <w:t>3. Definitions</w:t>
      </w:r>
      <w:bookmarkEnd w:id="7"/>
    </w:p>
    <w:p w:rsidR="00961FB0" w:rsidRDefault="00431346" w14:paraId="1EA37809" w14:textId="77777777">
      <w:pPr>
        <w:pStyle w:val="Heading3"/>
      </w:pPr>
      <w:bookmarkStart w:name="_Toc221872846" w:id="9"/>
      <w:bookmarkStart w:name="child" w:id="10"/>
      <w:r>
        <w:t>3.1 Child</w:t>
      </w:r>
      <w:bookmarkEnd w:id="9"/>
    </w:p>
    <w:p w:rsidR="00961FB0" w:rsidRDefault="00431346" w14:paraId="1EA3780A" w14:textId="77777777">
      <w:pPr>
        <w:pStyle w:val="FirstParagraph"/>
      </w:pPr>
      <w:r>
        <w:t>A person under the age of 18.</w:t>
      </w:r>
    </w:p>
    <w:p w:rsidR="00961FB0" w:rsidRDefault="00431346" w14:paraId="1EA3780B" w14:textId="77777777">
      <w:pPr>
        <w:pStyle w:val="Heading3"/>
      </w:pPr>
      <w:bookmarkStart w:name="_Toc221872847" w:id="11"/>
      <w:bookmarkStart w:name="adult-at-risk" w:id="12"/>
      <w:bookmarkEnd w:id="10"/>
      <w:r>
        <w:t>3.2 Adult at Risk</w:t>
      </w:r>
      <w:bookmarkEnd w:id="11"/>
    </w:p>
    <w:p w:rsidR="00961FB0" w:rsidRDefault="00431346" w14:paraId="1EA3780C" w14:textId="77777777">
      <w:pPr>
        <w:pStyle w:val="FirstParagraph"/>
      </w:pPr>
      <w:r>
        <w:t>An individual aged 18 or over who may be at risk of harm due to illness, disability, age, or other circumstances that impair their ability to protect themselves.</w:t>
      </w:r>
    </w:p>
    <w:p w:rsidR="00961FB0" w:rsidRDefault="00431346" w14:paraId="1EA3780D" w14:textId="77777777">
      <w:pPr>
        <w:pStyle w:val="Heading3"/>
      </w:pPr>
      <w:bookmarkStart w:name="_Toc221872848" w:id="13"/>
      <w:bookmarkStart w:name="abuse" w:id="14"/>
      <w:bookmarkEnd w:id="12"/>
      <w:r>
        <w:t>3.3 Abuse</w:t>
      </w:r>
      <w:bookmarkEnd w:id="13"/>
    </w:p>
    <w:p w:rsidR="00961FB0" w:rsidRDefault="00431346" w14:paraId="1EA3780E" w14:textId="77777777">
      <w:pPr>
        <w:pStyle w:val="FirstParagraph"/>
      </w:pPr>
      <w:r>
        <w:t>Abuse may be physical, emotional, sexual, financial, neglectful, domestic, spiritual, or discriminatory. Abuse may be a single act or repeated acts.</w:t>
      </w:r>
    </w:p>
    <w:p w:rsidR="00961FB0" w:rsidRDefault="00000000" w14:paraId="1EA3780F" w14:textId="77777777">
      <w:r>
        <w:pict w14:anchorId="1EA3784B">
          <v:rect id="_x0000_i1028" style="width:0;height:1.5pt" o:hr="t" o:hrstd="t" o:hralign="center"/>
        </w:pict>
      </w:r>
    </w:p>
    <w:p w:rsidR="00961FB0" w:rsidRDefault="00431346" w14:paraId="1EA37810" w14:textId="77777777">
      <w:pPr>
        <w:pStyle w:val="Heading2"/>
      </w:pPr>
      <w:bookmarkStart w:name="_Toc221872849" w:id="15"/>
      <w:bookmarkStart w:name="safeguarding-principles" w:id="16"/>
      <w:bookmarkEnd w:id="8"/>
      <w:bookmarkEnd w:id="14"/>
      <w:r>
        <w:lastRenderedPageBreak/>
        <w:t>4. Safeguarding Principles</w:t>
      </w:r>
      <w:bookmarkEnd w:id="15"/>
    </w:p>
    <w:p w:rsidR="00961FB0" w:rsidRDefault="00431346" w14:paraId="1EA37811" w14:textId="0F9E2BA8">
      <w:pPr>
        <w:pStyle w:val="FirstParagraph"/>
      </w:pPr>
      <w:r w:rsidR="00431346">
        <w:rPr/>
        <w:t xml:space="preserve">We commit to: - Promoting a culture of vigilance and transparency - </w:t>
      </w:r>
      <w:r w:rsidR="00431346">
        <w:rPr/>
        <w:t>Practising</w:t>
      </w:r>
      <w:r w:rsidR="00431346">
        <w:rPr/>
        <w:t xml:space="preserve"> safer recruitment and vetting - Providing </w:t>
      </w:r>
      <w:r w:rsidR="00431346">
        <w:rPr/>
        <w:t>appropriate safeguarding</w:t>
      </w:r>
      <w:r w:rsidR="00431346">
        <w:rPr/>
        <w:t xml:space="preserve"> training - Responding promptly and appropriately to concerns - Keeping </w:t>
      </w:r>
      <w:r w:rsidR="00431346">
        <w:rPr/>
        <w:t>accurate</w:t>
      </w:r>
      <w:r w:rsidR="00431346">
        <w:rPr/>
        <w:t>, secure safeguarding records - Reviewing safeguarding arrangements annually</w:t>
      </w:r>
      <w:r w:rsidR="60DE4104">
        <w:rPr/>
        <w:t>.</w:t>
      </w:r>
    </w:p>
    <w:p w:rsidR="00961FB0" w:rsidRDefault="00000000" w14:paraId="1EA37812" w14:textId="77777777">
      <w:r>
        <w:pict w14:anchorId="1EA3784C">
          <v:rect id="_x0000_i1029" style="width:0;height:1.5pt" o:hr="t" o:hrstd="t" o:hralign="center"/>
        </w:pict>
      </w:r>
    </w:p>
    <w:p w:rsidR="00961FB0" w:rsidRDefault="00431346" w14:paraId="1EA37813" w14:textId="77777777">
      <w:pPr>
        <w:pStyle w:val="Heading2"/>
      </w:pPr>
      <w:bookmarkStart w:name="_Toc221872850" w:id="17"/>
      <w:bookmarkStart w:name="governance-and-accountability" w:id="18"/>
      <w:bookmarkEnd w:id="16"/>
      <w:r>
        <w:t>5. Governance and Accountability</w:t>
      </w:r>
      <w:bookmarkEnd w:id="17"/>
    </w:p>
    <w:p w:rsidR="00961FB0" w:rsidRDefault="00431346" w14:paraId="1EA37814" w14:textId="77777777">
      <w:pPr>
        <w:pStyle w:val="FirstParagraph"/>
      </w:pPr>
      <w:r>
        <w:t>Ultimate responsibility for safeguarding rests with the Church Trustees.</w:t>
      </w:r>
    </w:p>
    <w:p w:rsidR="00961FB0" w:rsidRDefault="00431346" w14:paraId="1EA37815" w14:textId="77777777">
      <w:pPr>
        <w:pStyle w:val="BodyText"/>
      </w:pPr>
      <w:r>
        <w:t>The church will appoint: - A Designated Safeguarding Officer (DSO) - A Deputy Designated Safeguarding Officer</w:t>
      </w:r>
    </w:p>
    <w:p w:rsidR="00961FB0" w:rsidRDefault="00431346" w14:paraId="1EA37816" w14:textId="77777777">
      <w:pPr>
        <w:pStyle w:val="Heading3"/>
      </w:pPr>
      <w:bookmarkStart w:name="_Toc221872851" w:id="19"/>
      <w:bookmarkStart w:name="responsibilities-of-the-dso" w:id="20"/>
      <w:r>
        <w:t>5.1 Responsibilities of the DSO</w:t>
      </w:r>
      <w:bookmarkEnd w:id="19"/>
    </w:p>
    <w:p w:rsidR="00961FB0" w:rsidRDefault="00431346" w14:paraId="1EA37817" w14:textId="77777777">
      <w:pPr>
        <w:pStyle w:val="Compact"/>
        <w:numPr>
          <w:ilvl w:val="0"/>
          <w:numId w:val="2"/>
        </w:numPr>
      </w:pPr>
      <w:r>
        <w:t>Receive and record safeguarding concerns</w:t>
      </w:r>
    </w:p>
    <w:p w:rsidR="00961FB0" w:rsidRDefault="00431346" w14:paraId="1EA37818" w14:textId="77777777">
      <w:pPr>
        <w:pStyle w:val="Compact"/>
        <w:numPr>
          <w:ilvl w:val="0"/>
          <w:numId w:val="2"/>
        </w:numPr>
      </w:pPr>
      <w:r>
        <w:t>Liaise with statutory authorities</w:t>
      </w:r>
    </w:p>
    <w:p w:rsidR="00961FB0" w:rsidRDefault="00431346" w14:paraId="1EA37819" w14:textId="77777777">
      <w:pPr>
        <w:pStyle w:val="Compact"/>
        <w:numPr>
          <w:ilvl w:val="0"/>
          <w:numId w:val="2"/>
        </w:numPr>
      </w:pPr>
      <w:r>
        <w:t>Maintain confidential safeguarding records</w:t>
      </w:r>
    </w:p>
    <w:p w:rsidR="00961FB0" w:rsidRDefault="00431346" w14:paraId="1EA3781A" w14:textId="77777777">
      <w:pPr>
        <w:pStyle w:val="Compact"/>
        <w:numPr>
          <w:ilvl w:val="0"/>
          <w:numId w:val="2"/>
        </w:numPr>
      </w:pPr>
      <w:r>
        <w:t>Advise church leadership</w:t>
      </w:r>
    </w:p>
    <w:p w:rsidR="00961FB0" w:rsidRDefault="00431346" w14:paraId="1EA3781B" w14:textId="77777777">
      <w:pPr>
        <w:pStyle w:val="Compact"/>
        <w:numPr>
          <w:ilvl w:val="0"/>
          <w:numId w:val="2"/>
        </w:numPr>
      </w:pPr>
      <w:r>
        <w:t>Ensure policies are reviewed annually</w:t>
      </w:r>
    </w:p>
    <w:p w:rsidR="00961FB0" w:rsidRDefault="00431346" w14:paraId="1EA3781C" w14:textId="77777777">
      <w:pPr>
        <w:pStyle w:val="Heading3"/>
      </w:pPr>
      <w:bookmarkStart w:name="_Toc221872852" w:id="21"/>
      <w:bookmarkStart w:name="responsibilities-of-trustees" w:id="22"/>
      <w:bookmarkEnd w:id="20"/>
      <w:r>
        <w:t>5.2 Responsibilities of Trustees</w:t>
      </w:r>
      <w:bookmarkEnd w:id="21"/>
    </w:p>
    <w:p w:rsidR="00961FB0" w:rsidRDefault="00431346" w14:paraId="1EA3781D" w14:textId="77777777">
      <w:pPr>
        <w:pStyle w:val="Compact"/>
        <w:numPr>
          <w:ilvl w:val="0"/>
          <w:numId w:val="3"/>
        </w:numPr>
      </w:pPr>
      <w:r>
        <w:t>Approve safeguarding policies</w:t>
      </w:r>
    </w:p>
    <w:p w:rsidR="00961FB0" w:rsidRDefault="00431346" w14:paraId="1EA3781E" w14:textId="77777777">
      <w:pPr>
        <w:pStyle w:val="Compact"/>
        <w:numPr>
          <w:ilvl w:val="0"/>
          <w:numId w:val="3"/>
        </w:numPr>
      </w:pPr>
      <w:r>
        <w:t>Ensure sufficient resources are allocated</w:t>
      </w:r>
    </w:p>
    <w:p w:rsidR="00961FB0" w:rsidRDefault="00431346" w14:paraId="1EA3781F" w14:textId="77777777">
      <w:pPr>
        <w:pStyle w:val="Compact"/>
        <w:numPr>
          <w:ilvl w:val="0"/>
          <w:numId w:val="3"/>
        </w:numPr>
      </w:pPr>
      <w:r>
        <w:t>Monitor compliance through annual review</w:t>
      </w:r>
    </w:p>
    <w:p w:rsidR="00961FB0" w:rsidRDefault="00000000" w14:paraId="1EA37820" w14:textId="77777777">
      <w:r>
        <w:pict w14:anchorId="1EA3784D">
          <v:rect id="_x0000_i1030" style="width:0;height:1.5pt" o:hr="t" o:hrstd="t" o:hralign="center"/>
        </w:pict>
      </w:r>
    </w:p>
    <w:p w:rsidR="00961FB0" w:rsidRDefault="00431346" w14:paraId="1EA37821" w14:textId="77777777">
      <w:pPr>
        <w:pStyle w:val="Heading2"/>
      </w:pPr>
      <w:bookmarkStart w:name="_Toc221872853" w:id="23"/>
      <w:bookmarkStart w:name="reporting-concerns" w:id="24"/>
      <w:bookmarkEnd w:id="18"/>
      <w:bookmarkEnd w:id="22"/>
      <w:r>
        <w:t>6. Reporting Concerns</w:t>
      </w:r>
      <w:bookmarkEnd w:id="23"/>
    </w:p>
    <w:p w:rsidR="00961FB0" w:rsidRDefault="00431346" w14:paraId="1EA37822" w14:textId="589715CE">
      <w:pPr>
        <w:pStyle w:val="FirstParagraph"/>
      </w:pPr>
      <w:r>
        <w:t>Any person who has a safeguarding concern must report it immediately to the DSO or Deputy DSO.</w:t>
      </w:r>
      <w:r w:rsidR="000B4C6D">
        <w:t xml:space="preserve">  </w:t>
      </w:r>
      <w:r w:rsidR="00FE5A75">
        <w:t>We will endeavor to maintain one male and one female in these positions.</w:t>
      </w:r>
    </w:p>
    <w:p w:rsidR="00961FB0" w:rsidRDefault="00431346" w14:paraId="1EA37823" w14:textId="77777777">
      <w:pPr>
        <w:pStyle w:val="BodyText"/>
      </w:pPr>
      <w:r>
        <w:t>If a child or adult at risk is in immediate danger, emergency services must be contacted without delay.</w:t>
      </w:r>
    </w:p>
    <w:p w:rsidR="00961FB0" w:rsidRDefault="00431346" w14:paraId="1EA37824" w14:textId="77777777">
      <w:pPr>
        <w:pStyle w:val="BodyText"/>
      </w:pPr>
      <w:r>
        <w:t>The DSO will: - Record the concern factually and contemporaneously - Assess whether referral to statutory services is required - Seek advice from Gateway Services (children) or Adult Safeguarding Services where appropriate - Inform trustees where appropriate while maintaining confidentiality</w:t>
      </w:r>
    </w:p>
    <w:p w:rsidR="00961FB0" w:rsidRDefault="00431346" w14:paraId="1EA37825" w14:textId="77777777">
      <w:pPr>
        <w:pStyle w:val="BodyText"/>
      </w:pPr>
      <w:r>
        <w:t>No internal investigation will be undertaken where a statutory investigation may be required.</w:t>
      </w:r>
    </w:p>
    <w:p w:rsidR="00961FB0" w:rsidRDefault="00000000" w14:paraId="1EA37826" w14:textId="77777777">
      <w:r>
        <w:pict w14:anchorId="1EA3784E">
          <v:rect id="_x0000_i1031" style="width:0;height:1.5pt" o:hr="t" o:hrstd="t" o:hralign="center"/>
        </w:pict>
      </w:r>
    </w:p>
    <w:p w:rsidR="00961FB0" w:rsidRDefault="00431346" w14:paraId="1EA37827" w14:textId="77777777">
      <w:pPr>
        <w:pStyle w:val="Heading2"/>
      </w:pPr>
      <w:bookmarkStart w:name="_Toc221872854" w:id="25"/>
      <w:bookmarkStart w:name="Xa21313fe2e1e0bf3f9e9d338eb06c4fc6169fb6" w:id="26"/>
      <w:bookmarkEnd w:id="24"/>
      <w:r>
        <w:lastRenderedPageBreak/>
        <w:t>7. Managing Allegations Against Staff or Volunteers</w:t>
      </w:r>
      <w:bookmarkEnd w:id="25"/>
    </w:p>
    <w:p w:rsidR="00961FB0" w:rsidRDefault="00431346" w14:paraId="1EA37828" w14:textId="6674F225">
      <w:pPr>
        <w:pStyle w:val="FirstParagraph"/>
      </w:pPr>
      <w:r>
        <w:t xml:space="preserve">Where an allegation concerns a church worker, leader, or volunteer: - The DSO will inform the </w:t>
      </w:r>
      <w:r w:rsidR="00B3310D">
        <w:t>Pastor/</w:t>
      </w:r>
      <w:r w:rsidR="00DB0118">
        <w:t>Pastor’s Cabinet</w:t>
      </w:r>
      <w:r>
        <w:t xml:space="preserve"> </w:t>
      </w:r>
      <w:r w:rsidR="00B3310D">
        <w:t xml:space="preserve">as appropriate </w:t>
      </w:r>
      <w:r>
        <w:t>- Statutory agencies will be consulted before any internal action - The accused individual will be treated fairly and confidentially - Suspension from duties may occur as a neutral protective measure</w:t>
      </w:r>
      <w:r w:rsidR="00B3310D">
        <w:t>.</w:t>
      </w:r>
    </w:p>
    <w:p w:rsidR="00961FB0" w:rsidRDefault="00431346" w14:paraId="1EA37829" w14:textId="77777777">
      <w:pPr>
        <w:pStyle w:val="BodyText"/>
      </w:pPr>
      <w:r>
        <w:t>Whistleblowers will be protected from retaliation.</w:t>
      </w:r>
    </w:p>
    <w:p w:rsidR="00961FB0" w:rsidRDefault="00000000" w14:paraId="1EA3782A" w14:textId="77777777">
      <w:r>
        <w:pict w14:anchorId="1EA3784F">
          <v:rect id="_x0000_i1032" style="width:0;height:1.5pt" o:hr="t" o:hrstd="t" o:hralign="center"/>
        </w:pict>
      </w:r>
    </w:p>
    <w:p w:rsidR="00961FB0" w:rsidRDefault="00431346" w14:paraId="1EA3782B" w14:textId="77777777">
      <w:pPr>
        <w:pStyle w:val="Heading2"/>
      </w:pPr>
      <w:bookmarkStart w:name="_Toc221872855" w:id="27"/>
      <w:bookmarkStart w:name="safer-recruitment" w:id="28"/>
      <w:bookmarkEnd w:id="26"/>
      <w:r>
        <w:t>8. Safer Recruitment</w:t>
      </w:r>
      <w:bookmarkEnd w:id="27"/>
    </w:p>
    <w:p w:rsidR="00961FB0" w:rsidRDefault="00431346" w14:paraId="1EA3782C" w14:textId="0F632F06">
      <w:pPr>
        <w:pStyle w:val="FirstParagraph"/>
      </w:pPr>
      <w:r>
        <w:t>All staff and volunteers working with children or adults at risk will: - Undergo appropriate AccessNI vetting - Receive safeguarding training - Sign a Code of Conduct</w:t>
      </w:r>
      <w:r w:rsidR="00742728">
        <w:t xml:space="preserve"> before commencement of duties.</w:t>
      </w:r>
    </w:p>
    <w:p w:rsidR="00961FB0" w:rsidRDefault="00000000" w14:paraId="1EA3782D" w14:textId="77777777">
      <w:r>
        <w:pict w14:anchorId="1EA37850">
          <v:rect id="_x0000_i1033" style="width:0;height:1.5pt" o:hr="t" o:hrstd="t" o:hralign="center"/>
        </w:pict>
      </w:r>
    </w:p>
    <w:p w:rsidR="00961FB0" w:rsidRDefault="00431346" w14:paraId="1EA3782E" w14:textId="77777777">
      <w:pPr>
        <w:pStyle w:val="Heading2"/>
      </w:pPr>
      <w:bookmarkStart w:name="_Toc221872856" w:id="29"/>
      <w:bookmarkStart w:name="training" w:id="30"/>
      <w:bookmarkEnd w:id="28"/>
      <w:r>
        <w:t>9. Training</w:t>
      </w:r>
      <w:bookmarkEnd w:id="29"/>
    </w:p>
    <w:p w:rsidR="00961FB0" w:rsidRDefault="00431346" w14:paraId="1EA3782F" w14:textId="77777777">
      <w:pPr>
        <w:pStyle w:val="FirstParagraph"/>
      </w:pPr>
      <w:r>
        <w:t>The church will maintain a safeguarding training matrix and ensure: - Trustees receive safeguarding awareness training - All volunteers receive appropriate induction training - The DSO receives enhanced safeguarding training</w:t>
      </w:r>
    </w:p>
    <w:p w:rsidR="00961FB0" w:rsidRDefault="00000000" w14:paraId="1EA37830" w14:textId="77777777">
      <w:r>
        <w:pict w14:anchorId="1EA37851">
          <v:rect id="_x0000_i1034" style="width:0;height:1.5pt" o:hr="t" o:hrstd="t" o:hralign="center"/>
        </w:pict>
      </w:r>
    </w:p>
    <w:p w:rsidR="00961FB0" w:rsidRDefault="00431346" w14:paraId="1EA37831" w14:textId="77777777">
      <w:pPr>
        <w:pStyle w:val="Heading2"/>
      </w:pPr>
      <w:bookmarkStart w:name="_Toc221872857" w:id="31"/>
      <w:bookmarkStart w:name="record-keeping-and-confidentiality" w:id="32"/>
      <w:bookmarkEnd w:id="30"/>
      <w:r>
        <w:t>10. Record Keeping and Confidentiality</w:t>
      </w:r>
      <w:bookmarkEnd w:id="31"/>
    </w:p>
    <w:p w:rsidR="00961FB0" w:rsidRDefault="00431346" w14:paraId="1EA37832" w14:textId="77777777">
      <w:pPr>
        <w:pStyle w:val="FirstParagraph"/>
      </w:pPr>
      <w:r>
        <w:t>Safeguarding records will: - Be factual and objective - Be stored securely - Be accessible only to authorised individuals - Be retained in line with legal guidance</w:t>
      </w:r>
    </w:p>
    <w:p w:rsidR="00961FB0" w:rsidRDefault="00431346" w14:paraId="1EA37833" w14:textId="77777777">
      <w:pPr>
        <w:pStyle w:val="BodyText"/>
      </w:pPr>
      <w:r>
        <w:t>Information will be shared on a need‑to‑know basis in accordance with UK GDPR and safeguarding law.</w:t>
      </w:r>
    </w:p>
    <w:p w:rsidR="00961FB0" w:rsidRDefault="00000000" w14:paraId="1EA37834" w14:textId="77777777">
      <w:r>
        <w:pict w14:anchorId="1EA37852">
          <v:rect id="_x0000_i1035" style="width:0;height:1.5pt" o:hr="t" o:hrstd="t" o:hralign="center"/>
        </w:pict>
      </w:r>
    </w:p>
    <w:p w:rsidR="00961FB0" w:rsidRDefault="00431346" w14:paraId="1EA37835" w14:textId="77777777">
      <w:pPr>
        <w:pStyle w:val="Heading2"/>
      </w:pPr>
      <w:bookmarkStart w:name="_Toc221872858" w:id="33"/>
      <w:bookmarkStart w:name="risk-assessment" w:id="34"/>
      <w:bookmarkEnd w:id="32"/>
      <w:r>
        <w:t>11. Risk Assessment</w:t>
      </w:r>
      <w:bookmarkEnd w:id="33"/>
    </w:p>
    <w:p w:rsidR="00961FB0" w:rsidRDefault="00431346" w14:paraId="1EA37836" w14:textId="77777777">
      <w:pPr>
        <w:pStyle w:val="FirstParagraph"/>
      </w:pPr>
      <w:r>
        <w:t>All church activities involving children or adults at risk will be subject to written risk assessment and appropriate safeguarding controls.</w:t>
      </w:r>
    </w:p>
    <w:p w:rsidR="00961FB0" w:rsidRDefault="00000000" w14:paraId="1EA37837" w14:textId="77777777">
      <w:r>
        <w:pict w14:anchorId="1EA37853">
          <v:rect id="_x0000_i1036" style="width:0;height:1.5pt" o:hr="t" o:hrstd="t" o:hralign="center"/>
        </w:pict>
      </w:r>
    </w:p>
    <w:p w:rsidR="00961FB0" w:rsidRDefault="00431346" w14:paraId="1EA37838" w14:textId="77777777">
      <w:pPr>
        <w:pStyle w:val="Heading2"/>
      </w:pPr>
      <w:bookmarkStart w:name="_Toc221872859" w:id="35"/>
      <w:bookmarkStart w:name="policy-review" w:id="36"/>
      <w:bookmarkEnd w:id="34"/>
      <w:r>
        <w:t>12. Policy Review</w:t>
      </w:r>
      <w:bookmarkEnd w:id="35"/>
    </w:p>
    <w:p w:rsidR="00961FB0" w:rsidRDefault="00431346" w14:paraId="1EA37839" w14:textId="77777777">
      <w:pPr>
        <w:pStyle w:val="FirstParagraph"/>
      </w:pPr>
      <w:r>
        <w:t>This policy will be reviewed annually by the Trustees and updated in line with statutory changes or identified safeguarding improvements.</w:t>
      </w:r>
    </w:p>
    <w:p w:rsidR="00961FB0" w:rsidRDefault="00000000" w14:paraId="1EA3783A" w14:textId="77777777">
      <w:r>
        <w:lastRenderedPageBreak/>
        <w:pict w14:anchorId="1EA37854">
          <v:rect id="_x0000_i1037" style="width:0;height:1.5pt" o:hr="t" o:hrstd="t" o:hralign="center"/>
        </w:pict>
      </w:r>
    </w:p>
    <w:p w:rsidR="00961FB0" w:rsidRDefault="00431346" w14:paraId="1EA3783B" w14:textId="77777777">
      <w:pPr>
        <w:pStyle w:val="Heading1"/>
      </w:pPr>
      <w:bookmarkStart w:name="_Toc221872860" w:id="37"/>
      <w:bookmarkStart w:name="document-control" w:id="38"/>
      <w:bookmarkEnd w:id="0"/>
      <w:bookmarkEnd w:id="36"/>
      <w:r>
        <w:t>Document Control</w:t>
      </w:r>
      <w:bookmarkEnd w:id="37"/>
    </w:p>
    <w:p w:rsidR="00117409" w:rsidRDefault="00431346" w14:paraId="22270128" w14:textId="77777777">
      <w:pPr>
        <w:pStyle w:val="FirstParagraph"/>
      </w:pPr>
      <w:r>
        <w:t xml:space="preserve">Version: Approved by (Trustees): </w:t>
      </w:r>
    </w:p>
    <w:p w:rsidR="00431346" w:rsidRDefault="00431346" w14:paraId="26CA6FE3" w14:textId="77777777">
      <w:pPr>
        <w:pStyle w:val="FirstParagraph"/>
      </w:pPr>
    </w:p>
    <w:p w:rsidR="00117409" w:rsidRDefault="00431346" w14:paraId="140DA0FA" w14:textId="08E132EE">
      <w:pPr>
        <w:pStyle w:val="FirstParagraph"/>
      </w:pPr>
      <w:r w:rsidR="00431346">
        <w:rPr/>
        <w:t xml:space="preserve">Approval date: </w:t>
      </w:r>
      <w:r w:rsidR="50BD81EF">
        <w:rPr/>
        <w:t xml:space="preserve"> 16/03/2026</w:t>
      </w:r>
    </w:p>
    <w:p w:rsidR="00117409" w:rsidRDefault="00117409" w14:paraId="1E5CE065" w14:textId="77777777">
      <w:pPr>
        <w:pStyle w:val="FirstParagraph"/>
      </w:pPr>
    </w:p>
    <w:p w:rsidR="00961FB0" w:rsidRDefault="00431346" w14:paraId="1EA3783C" w14:textId="79B98AFA">
      <w:pPr>
        <w:pStyle w:val="FirstParagraph"/>
      </w:pPr>
      <w:r w:rsidR="00431346">
        <w:rPr/>
        <w:t>Next Review date:</w:t>
      </w:r>
      <w:r w:rsidR="57CFEEEC">
        <w:rPr/>
        <w:t xml:space="preserve"> 16/03/2027</w:t>
      </w:r>
    </w:p>
    <w:p w:rsidR="00431346" w:rsidRDefault="00431346" w14:paraId="201E7D3F" w14:textId="77777777">
      <w:pPr>
        <w:pStyle w:val="BodyText"/>
      </w:pPr>
    </w:p>
    <w:p w:rsidR="00431346" w:rsidRDefault="00431346" w14:paraId="38E21885" w14:textId="77777777">
      <w:pPr>
        <w:pStyle w:val="BodyText"/>
      </w:pPr>
    </w:p>
    <w:p w:rsidR="00961FB0" w:rsidRDefault="00431346" w14:paraId="1EA3783D" w14:textId="4CB78E7C">
      <w:pPr>
        <w:pStyle w:val="BodyText"/>
      </w:pPr>
      <w:r>
        <w:t>Change Log:</w:t>
      </w:r>
    </w:p>
    <w:tbl>
      <w:tblPr>
        <w:tblStyle w:val="Table"/>
        <w:tblW w:w="8700" w:type="dxa"/>
        <w:tblLook w:val="0020" w:firstRow="1" w:lastRow="0" w:firstColumn="0" w:lastColumn="0" w:noHBand="0" w:noVBand="0"/>
      </w:tblPr>
      <w:tblGrid>
        <w:gridCol w:w="1350"/>
        <w:gridCol w:w="1050"/>
        <w:gridCol w:w="2550"/>
        <w:gridCol w:w="3750"/>
      </w:tblGrid>
      <w:tr w:rsidR="00961FB0" w:rsidTr="2B8FE6FE" w14:paraId="1EA378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tcMar/>
          </w:tcPr>
          <w:p w:rsidR="00961FB0" w:rsidRDefault="00431346" w14:paraId="1EA3783E" w14:textId="77777777">
            <w:pPr>
              <w:pStyle w:val="Compact"/>
            </w:pPr>
            <w:r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50" w:type="dxa"/>
            <w:tcMar/>
          </w:tcPr>
          <w:p w:rsidR="00961FB0" w:rsidRDefault="00431346" w14:paraId="1EA3783F" w14:textId="77777777">
            <w:pPr>
              <w:pStyle w:val="Compact"/>
            </w:pPr>
            <w: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0" w:type="dxa"/>
            <w:tcMar/>
          </w:tcPr>
          <w:p w:rsidR="00961FB0" w:rsidRDefault="00431346" w14:paraId="1EA37840" w14:textId="77777777">
            <w:pPr>
              <w:pStyle w:val="Compact"/>
            </w:pPr>
            <w:r>
              <w:t>Change Description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50" w:type="dxa"/>
            <w:tcMar/>
          </w:tcPr>
          <w:p w:rsidR="00961FB0" w:rsidRDefault="00431346" w14:paraId="1EA37841" w14:textId="77777777">
            <w:pPr>
              <w:pStyle w:val="Compact"/>
            </w:pPr>
            <w:r>
              <w:t>Approved By</w:t>
            </w:r>
          </w:p>
        </w:tc>
      </w:tr>
      <w:tr w:rsidR="00961FB0" w:rsidTr="2B8FE6FE" w14:paraId="1EA37847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tcMar/>
          </w:tcPr>
          <w:p w:rsidR="00961FB0" w:rsidRDefault="00431346" w14:paraId="1EA37843" w14:textId="77777777">
            <w:pPr>
              <w:pStyle w:val="Compact"/>
            </w:pPr>
            <w:r>
              <w:t>1.0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50" w:type="dxa"/>
            <w:tcMar/>
          </w:tcPr>
          <w:p w:rsidR="00961FB0" w:rsidRDefault="00961FB0" w14:paraId="1EA37844" w14:textId="77777777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0" w:type="dxa"/>
            <w:tcMar/>
          </w:tcPr>
          <w:p w:rsidR="00961FB0" w:rsidRDefault="00431346" w14:paraId="1EA37845" w14:textId="77777777">
            <w:pPr>
              <w:pStyle w:val="Compact"/>
            </w:pPr>
            <w:r>
              <w:t>Initial issue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50" w:type="dxa"/>
            <w:tcMar/>
          </w:tcPr>
          <w:p w:rsidR="00961FB0" w:rsidRDefault="00431346" w14:paraId="1EA37846" w14:textId="77777777">
            <w:pPr>
              <w:pStyle w:val="Compact"/>
            </w:pPr>
            <w:r>
              <w:t>Trustees</w:t>
            </w:r>
          </w:p>
        </w:tc>
      </w:tr>
      <w:bookmarkEnd w:id="38"/>
    </w:tbl>
    <w:p w:rsidR="00431346" w:rsidRDefault="00431346" w14:paraId="1EA37848" w14:textId="77777777"/>
    <w:sectPr w:rsidR="00431346">
      <w:footnotePr>
        <w:numRestart w:val="eachSect"/>
      </w:footnotePr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6386BF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B602A50"/>
    <w:lvl w:ilvl="0"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 w16cid:durableId="1857452841">
    <w:abstractNumId w:val="0"/>
  </w:num>
  <w:num w:numId="2" w16cid:durableId="1575168016">
    <w:abstractNumId w:val="1"/>
  </w:num>
  <w:num w:numId="3" w16cid:durableId="1942839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FB0"/>
    <w:rsid w:val="00000000"/>
    <w:rsid w:val="00041EAB"/>
    <w:rsid w:val="000B4C6D"/>
    <w:rsid w:val="000F3F41"/>
    <w:rsid w:val="00117409"/>
    <w:rsid w:val="001E0509"/>
    <w:rsid w:val="00431346"/>
    <w:rsid w:val="004E29FC"/>
    <w:rsid w:val="00742728"/>
    <w:rsid w:val="00784358"/>
    <w:rsid w:val="00961FB0"/>
    <w:rsid w:val="00B3310D"/>
    <w:rsid w:val="00C0339B"/>
    <w:rsid w:val="00C612F9"/>
    <w:rsid w:val="00DB0118"/>
    <w:rsid w:val="00E454A9"/>
    <w:rsid w:val="00FE5A75"/>
    <w:rsid w:val="2B8FE6FE"/>
    <w:rsid w:val="3B1FDF85"/>
    <w:rsid w:val="50BD81EF"/>
    <w:rsid w:val="57CFEEEC"/>
    <w:rsid w:val="60D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377FD"/>
  <w15:docId w15:val="{973CCCD8-91D1-49E5-8D82-DD4D9128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oc 3" w:uiPriority="3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styleId="FirstParagraph" w:customStyle="1">
    <w:name w:val="First Paragraph"/>
    <w:basedOn w:val="BodyText"/>
    <w:next w:val="BodyText"/>
    <w:qFormat/>
  </w:style>
  <w:style w:type="paragraph" w:styleId="Compact" w:customStyle="1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0F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uthor" w:customStyle="1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styleId="AbstractTitle" w:customStyle="1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styleId="Heading1Char" w:customStyle="1">
    <w:name w:val="Heading 1 Char"/>
    <w:basedOn w:val="DefaultParagraphFont"/>
    <w:link w:val="Heading1"/>
    <w:uiPriority w:val="9"/>
    <w:rsid w:val="00A10F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0F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styleId="FootnoteBlockText" w:customStyle="1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styleId="Table" w:customStyle="1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color="auto" w:sz="0" w:space="0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styleId="TableCaption" w:customStyle="1">
    <w:name w:val="Table Caption"/>
    <w:basedOn w:val="Caption"/>
    <w:pPr>
      <w:keepNext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/>
    </w:pPr>
  </w:style>
  <w:style w:type="character" w:styleId="CaptionChar" w:customStyle="1">
    <w:name w:val="Caption Char"/>
    <w:basedOn w:val="DefaultParagraphFont"/>
    <w:link w:val="Caption"/>
  </w:style>
  <w:style w:type="character" w:styleId="VerbatimChar" w:customStyle="1">
    <w:name w:val="Verbatim Char"/>
    <w:basedOn w:val="CaptionChar"/>
    <w:link w:val="SourceCode"/>
    <w:rPr>
      <w:rFonts w:ascii="Consolas" w:hAnsi="Consolas"/>
      <w:sz w:val="22"/>
    </w:rPr>
  </w:style>
  <w:style w:type="character" w:styleId="SectionNumber" w:customStyle="1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uiPriority w:val="99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Pr>
      <w:rFonts w:ascii="Consolas" w:hAnsi="Consolas"/>
      <w:b/>
      <w:color w:val="008000"/>
      <w:sz w:val="22"/>
    </w:rPr>
  </w:style>
  <w:style w:type="character" w:styleId="CommentTok" w:customStyle="1">
    <w:name w:val="CommentTok"/>
    <w:basedOn w:val="VerbatimChar"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Pr>
      <w:rFonts w:ascii="Consolas" w:hAnsi="Consolas"/>
      <w:color w:val="008000"/>
      <w:sz w:val="22"/>
    </w:rPr>
  </w:style>
  <w:style w:type="character" w:styleId="ExtensionTok" w:customStyle="1">
    <w:name w:val="ExtensionTok"/>
    <w:basedOn w:val="VerbatimChar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rPr>
      <w:rFonts w:ascii="Consolas" w:hAnsi="Consolas"/>
      <w:sz w:val="22"/>
    </w:rPr>
  </w:style>
  <w:style w:type="paragraph" w:styleId="TOC2">
    <w:name w:val="toc 2"/>
    <w:basedOn w:val="Normal"/>
    <w:next w:val="Normal"/>
    <w:autoRedefine/>
    <w:uiPriority w:val="39"/>
    <w:rsid w:val="004E29F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4E29FC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rsid w:val="004E29F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A0C91-04BC-4BC9-8D7A-DEFAD04FA46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>Jonathan Gray</lastModifiedBy>
  <revision>14</revision>
  <dcterms:created xsi:type="dcterms:W3CDTF">2026-02-13T10:57:00.0000000Z</dcterms:created>
  <dcterms:modified xsi:type="dcterms:W3CDTF">2026-03-16T21:23:44.4982665Z</dcterms:modified>
</coreProperties>
</file>